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142"/>
        <w:rPr/>
      </w:pPr>
      <w:r>
        <w:rPr>
          <w:sz w:val="20"/>
          <w:szCs w:val="20"/>
        </w:rPr>
        <w:t xml:space="preserve">Monika Robert </w:t>
        <w:tab/>
        <w:tab/>
        <w:tab/>
        <w:tab/>
        <w:tab/>
        <w:tab/>
        <w:tab/>
        <w:tab/>
        <w:tab/>
        <w:tab/>
        <w:tab/>
        <w:t xml:space="preserve"> </w:t>
        <w:tab/>
        <w:tab/>
        <w:tab/>
        <w:t xml:space="preserve">          Zielonki-Parcele, dn. 02.09.20</w:t>
      </w:r>
      <w:r>
        <w:rPr>
          <w:sz w:val="20"/>
          <w:szCs w:val="20"/>
        </w:rPr>
        <w:t xml:space="preserve">20 </w:t>
      </w:r>
      <w:r>
        <w:rPr>
          <w:sz w:val="20"/>
          <w:szCs w:val="20"/>
        </w:rPr>
        <w:t>r.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  <w:t>Program nauczania geografii dla klas 5-8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  <w:t>Autor: Arkadiusz Głowacz, Agnieszka Lechowicz, Maciej Lechowicz, Piotr Stankiewicz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2" w:hanging="0"/>
        <w:jc w:val="center"/>
        <w:rPr>
          <w:rFonts w:cs="Arial"/>
          <w:b/>
          <w:b/>
          <w:i/>
          <w:i/>
          <w:iCs/>
          <w:color w:val="F09120"/>
          <w:sz w:val="24"/>
          <w:szCs w:val="24"/>
        </w:rPr>
      </w:pPr>
      <w:r>
        <w:rPr>
          <w:rFonts w:cs="Arial"/>
          <w:b/>
          <w:i/>
          <w:iCs/>
          <w:color w:val="F09120"/>
          <w:sz w:val="24"/>
          <w:szCs w:val="24"/>
        </w:rPr>
        <w:t>WYMAGANIA EDUKACYJNE Z GEOGRAFII NA POSZCZEGÓLNE ŚRÓDROCZNE I ROCZNE OCENY KLASYFIKACYJNE</w:t>
      </w:r>
    </w:p>
    <w:p>
      <w:pPr>
        <w:pStyle w:val="Normal"/>
        <w:ind w:left="142" w:hanging="0"/>
        <w:jc w:val="center"/>
        <w:rPr/>
      </w:pPr>
      <w:r>
        <w:rPr>
          <w:rFonts w:cs="Arial"/>
          <w:b/>
          <w:i/>
          <w:iCs/>
          <w:color w:val="F09120"/>
          <w:sz w:val="24"/>
          <w:szCs w:val="24"/>
        </w:rPr>
        <w:t>W ROKU SZKOLNYM 20</w:t>
      </w:r>
      <w:r>
        <w:rPr>
          <w:rFonts w:cs="Arial"/>
          <w:b/>
          <w:i/>
          <w:iCs/>
          <w:color w:val="F09120"/>
          <w:sz w:val="24"/>
          <w:szCs w:val="24"/>
        </w:rPr>
        <w:t>20</w:t>
      </w:r>
      <w:r>
        <w:rPr>
          <w:rFonts w:cs="Arial"/>
          <w:b/>
          <w:i/>
          <w:iCs/>
          <w:color w:val="F09120"/>
          <w:sz w:val="24"/>
          <w:szCs w:val="24"/>
        </w:rPr>
        <w:t>/202</w:t>
      </w:r>
      <w:r>
        <w:rPr>
          <w:rFonts w:cs="Arial"/>
          <w:b/>
          <w:i/>
          <w:iCs/>
          <w:color w:val="F09120"/>
          <w:sz w:val="24"/>
          <w:szCs w:val="24"/>
        </w:rPr>
        <w:t>1</w:t>
      </w:r>
    </w:p>
    <w:p>
      <w:pPr>
        <w:pStyle w:val="Normal"/>
        <w:ind w:left="142" w:hanging="0"/>
        <w:jc w:val="center"/>
        <w:rPr>
          <w:i/>
          <w:i/>
          <w:iCs/>
          <w:color w:val="F09120"/>
          <w:sz w:val="24"/>
          <w:szCs w:val="24"/>
        </w:rPr>
      </w:pPr>
      <w:r>
        <w:rPr>
          <w:rFonts w:cs="Arial"/>
          <w:b/>
          <w:i/>
          <w:iCs/>
          <w:color w:val="F09120"/>
          <w:sz w:val="24"/>
          <w:szCs w:val="24"/>
        </w:rPr>
        <w:t xml:space="preserve">DLA KLASY 6A </w:t>
      </w:r>
    </w:p>
    <w:p>
      <w:pPr>
        <w:pStyle w:val="Normal"/>
        <w:ind w:left="142" w:hanging="0"/>
        <w:jc w:val="center"/>
        <w:rPr>
          <w:i/>
          <w:i/>
          <w:iCs/>
          <w:color w:val="F09120"/>
        </w:rPr>
      </w:pPr>
      <w:r>
        <w:rPr/>
        <w:t>Na podstawie rozdziału V Statutu Szkoły Podstawowej w Zielonkach-Parceli ustala się poniższe wymagania.</w:t>
      </w:r>
    </w:p>
    <w:p>
      <w:pPr>
        <w:pStyle w:val="Normal"/>
        <w:ind w:left="142" w:hanging="0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t>NA OCENĘ ŚRÓDROCZNĄ</w:t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8"/>
        <w:gridCol w:w="2799"/>
        <w:gridCol w:w="2799"/>
        <w:gridCol w:w="2799"/>
        <w:gridCol w:w="2799"/>
      </w:tblGrid>
      <w:tr>
        <w:trPr>
          <w:trHeight w:val="489" w:hRule="atLeast"/>
        </w:trPr>
        <w:tc>
          <w:tcPr>
            <w:tcW w:w="2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>
        <w:trPr>
          <w:trHeight w:val="488" w:hRule="atLeast"/>
        </w:trPr>
        <w:tc>
          <w:tcPr>
            <w:tcW w:w="139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półkule, północną i południową;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globusie i mapie świata: równik, zwrotniki i koła podbiegunowe;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współrzędne geograficzne;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główne kierunki geograficzne;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położenie Ziemi we Wszechświecie, podając nazwę Galaktyki i Układu;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demonstrować, używając globusa lub tellurium, ruch obrotowy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występowanie różnic czasu słonecznego jako konsekwencji ruchu obrotowego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zależność czasu słonecznego od położenia</w:t>
              <w:br/>
              <w:t>na konkretnym południku;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zademonstrować, używając globusa lub tellurium ruch obiegowy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ramy czasowe astronomicznych pór roku;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strefy oświetlenia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ich zasięg na mapie, globusie.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pojęcia: równik, zwrotniki i koła podbiegunowe;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szerokości geograficznej;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wskazać, z których linii siatki odczytujemy długość i szerokość geograficzną;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główne kierunki geograficzne;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elementy Układu Słonecznego;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kolejność planet w Układzie Słonecznym;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ruchu obrotowego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kierunek ruchu i zmianę czasu, jaka w związku z nim następuje;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rodzaje czasów;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korzystając z mapy stref czasowych, odczytać godzinę we wskazanych miejscach</w:t>
              <w:br/>
              <w:t>na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ruchu obiegowego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używać pojęcia związane</w:t>
              <w:br/>
              <w:t>z ruchem obiegowym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astronomiczne pory roku jako następstwo ruchu obiegowego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rejony występowania poszczególnych stref oświetlenia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krainy geograficzne należące do danej strefy.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globusie i mapie świata: równik, zwrotniki i koła podbiegunowe;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wartości szerokości geograficznej z map o różnych skalach;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półkulę dla danej szerokości geograficznej;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współrzędne geograficzne punktu na mapie;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punkty skrajne różnych obiektów geograficznych;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wskazać, kiedy używamy GPS;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dzisiejsze poglądy na położenie Ziemi w Układzie Słonecznym;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cechy planet i gwiazd;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cechy ruchu obrotowego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ze zrozumieniem używać pojęć związanych z pozorną wędrówką Słońca po niebie;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strefy czasowe, w których znajduje się Polska;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różnicę czasu na wschód</w:t>
              <w:br/>
              <w:t>i na zachód od Polski;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daty przesileń;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zależności między dniami przesileń a porami roku;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poszczególnych stref oświetlenia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krainy geograficzne należące do danej strefy.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zdefiniować szerokość geograficzną;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wartości szerokości geograficznej znaleźć odpowiedni równoleżnik na mapach w różnych skalach;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podanych współrzędnych geograficznych odszukać punkt na mapach</w:t>
              <w:br/>
              <w:t>w różnych skalach;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współrzędne geograficzne punktów skrajnych różnych obiektów;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skorzystać z GPS;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teorię geocentryczną;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teorię heliocentryczną;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 związane z pozorną wędrówką Słońca po niebie;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potrzebę wprowadzenia czasu strefowego i urzędowego;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>przedstawić zmiany w oświetleniu Ziemi w pierwszych dniach astronomicznych pór roku;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różnice wynikające</w:t>
              <w:br/>
              <w:t>z różnego oświetlenia Ziemi</w:t>
              <w:br/>
              <w:t>w poszczególnych strefach;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konsekwencje przyrodnicze różnego oświetlenie terenu w różnych strefach.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wartości szerokości geograficznej</w:t>
              <w:br/>
              <w:t>z dokładnością do minut;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pochodzenie nazw charakterystycznych równoleżników;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położenie obszaru;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obliczyć jego rozciągłość południkową i równoleżnikową;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zastosowanie GPS;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teorię geocentryczną i heliocentryczną;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konsekwencje ruchu obrotowego Ziemi dla roślin, zwierząt i człowieka;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obliczyć różnicę czasu słonecznego dla dowolnych punktów na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konsekwencje zmiany oświetlenia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przeanalizować wysokość Słońca nad horyzontem w różnych porach roku w najbliższym otoczeniu;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związek między ruchem obiegowym Ziemi, a strefami oświetlenia, strefowym zróżnicowaniem klimatu i krajobrazów na Ziemi.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wielkość powierzchni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krótko opisać najważniejsze cechy środowiska przyrodniczego Europy – duże zróżnicowanie ukształtowania powierzchni, silne rozwinięcie linii brzegowej, dominację obszarów nizinnych oraz położenie na umiarkowanych szerokościach geograficznych;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czynniki wpływające na rozmieszczenie ludności</w:t>
              <w:br/>
              <w:t>w Europie;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przykłady ludów zamieszkujących Europę;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dużej imigracji do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ilustracji porównać centra i przedmieścia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przyporządkować główne funkcje do właściwych części wielkich metropolii (dzielnic centralnych i peryferyjnych);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czym zajmuje się rolnictwo, wymienia produkty pochodzące z upraw roślin</w:t>
              <w:br/>
              <w:t>i chowu zwierząt;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opisać położenie w Europie Danii</w:t>
              <w:br/>
              <w:t>i Węgier;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źródła energii;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państw wykorzystujących określone źródła energii.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nazwać główne morza i ocean otaczające Europę;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cechy charakterystyczne dla danego pasa rzeźby;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świadczące o dużym zróżnicowaniu ludów Europy;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starzenia się społeczeństwa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podstawowe cechy wielkich metropolii (np. duża liczba ludności, wysoka gęstość zaludnienia i zabudowy);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przyczyny szybkiego rozwoju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atrakcji turystycznych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naturalne, od których zależy rozwój rolnictwa;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klimatogramów porównać warunki klimatyczne w Danii i na Węgrzech;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odnawialność danego źródła energii;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kraje Europy zasobne w surowce energetyczne.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nazwać największe wyspy i półwyspy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nazwać skrajne punkty na mapie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</w:t>
              <w:br/>
              <w:t>zróżnicowania ludów</w:t>
              <w:br/>
              <w:t xml:space="preserve">Europy;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państw,</w:t>
              <w:br/>
              <w:t>na terenie których przebywa duża liczba imigrantów;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map porównać położenie i kierunki rozwoju przestrzennego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Narkisim"/>
                <w:color w:val="000000" w:themeColor="text1"/>
                <w:sz w:val="18"/>
                <w:szCs w:val="18"/>
              </w:rPr>
              <w:t>scharakteryzować wybrane cechy demograficzne ludności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znaczenie transportu zbiorowego w funkcjonowaniu wielkich metropolii;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 tematycznych porównać warunki naturalne panujące w Danii i na Węgrzech;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rolnictwo Danii i Węgier, uwzględniając główne uprawy</w:t>
              <w:br/>
              <w:t>i chów zwierząt oraz wydajność rolnictwa;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uzasadnić, które kraje mają sprzyjające warunki przyrodnicze do rozwoju różnych form energetyki odnawialnej.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typy wybrzeży występujące w Europie i wskazać ich przykłady na mapie;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podać nazwy obiektów geograficznych, wzdłuż których przebiega umowna granica między Europą i Azją;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</w:t>
              <w:br/>
              <w:t>o dużym wewnętrznym</w:t>
              <w:br/>
              <w:t>zróżnicowaniu językowym i kulturowym;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konsekwencje zróżnicowania demograficznego społeczeństwa Europy.;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cech różniących Londyn i Paryż;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i ocenić pozytywne i negatywne aspekty zamieszkiwania w wielkiej metropolii;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cechy rolnictwa Danii i Węgier, uwzględniając zarówno warunki naturalne, uwarunkowania pozaprzyrodnicze, główne kierunki upraw i chowu oraz wydajność rolnictwa;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czy struktura produkcji energii w danym kraju jest nowoczesna i przyjazna środowisku;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środowiska przyrodniczego wybranego kraju Europy a wykorzystaniem różnych źródeł energii.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główne pasma górskie i podać ich najwyższe szczyty;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środowisko geograficzne dowolnej części Europy, korzystając z mapy fizycznogeograficznej;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sytuację demograficzną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prorodzinnych rozwiązań w krajach europejskich;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pojęcie rewitalizacji miast;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przyczyny rewitalizacji miast lub ich fragmentów;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przykładzie Londynu zaprezentować pozytywne skutki rewitalizacji miast;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wybrane produkty lub potrawy pochodzące z Danii</w:t>
              <w:br/>
              <w:t>i Węgier i wyjaśnić ich związek z kierunkiem rozwoju rolnictwa w danym kraju;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perspektywę energetyczną wybranego kraju i całej Europy.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t>NA OCENĘ ROCZNĄ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Uczeń opanował materiał obowiązujący na ocenę śródroczną oraz:</w:t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8"/>
        <w:gridCol w:w="2799"/>
        <w:gridCol w:w="2799"/>
        <w:gridCol w:w="2799"/>
        <w:gridCol w:w="2799"/>
      </w:tblGrid>
      <w:tr>
        <w:trPr>
          <w:trHeight w:val="489" w:hRule="atLeast"/>
        </w:trPr>
        <w:tc>
          <w:tcPr>
            <w:tcW w:w="2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>
        <w:trPr>
          <w:trHeight w:val="488" w:hRule="atLeast"/>
        </w:trPr>
        <w:tc>
          <w:tcPr>
            <w:tcW w:w="139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nowoczesnych gałęzi przemysłu rozwiniętych</w:t>
              <w:br/>
              <w:t>we Francji;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nowoczesnych usług rozwiniętych we Francji;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pojęcie „turystyka”;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</w:t>
              <w:br/>
              <w:t>europejskie państwa</w:t>
              <w:br/>
              <w:t>leżące nad Morzem</w:t>
              <w:br/>
              <w:t>Śródziemnym;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półwyspy: Iberyjski, Apeniński i Bałkański;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ilustracji opisać wygląd zakładów przemysłowych w XIX w. oraz obecnie;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gałęzi przemysłowych rozwijanych Nadrenii Północnej-Westfalii w XIX w. oraz obecnie;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przykłady atrakcji turystycznych Litwy i Białorusi;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nazwy stolic Litwy</w:t>
              <w:br/>
              <w:t>i Białorusi;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 fizycznej Europy położenie</w:t>
              <w:br/>
              <w:t>i główne krainy geograficzne Czech i Słowacji;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czym są atrakcje turystyczne;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sklasyfikować atrakcje turystyczne na przyrodnicze</w:t>
              <w:br/>
              <w:t>i kulturowe;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mapy opisać położenie Ukrainy względem Polski i innych państw;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trzy trudności społeczne, gospodarcze</w:t>
              <w:br/>
              <w:t>i polityczne, z którymi Ukraina zmaga się w ostatnich latach;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i opisać na podstawie mapy fizycznej położenie Rosji;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rozmieszczenie głównych krain geograficznych Rosji;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gospodarczej nazwy głównych surowców wydobywanych w Rosji;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i nazwać państwa sąsiadujące z Polską;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działań realizowanych przez Polskę wspólnie z sąsiednimi krajami.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strukturę zatrudnienia we Francji;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produktów przemysłowych, które Francja eksportuje do innych krajów;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główne walory</w:t>
              <w:br/>
              <w:t>środowiska przyrodniczego basenu Morza Śródziemnego;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różnice między turystyką masową, kwalifikowaną i agroturystyką;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różnice między turystyką krajoznawczą</w:t>
              <w:br/>
              <w:t>i wypoczynkową;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przyczyny restrukturyzacji przemysłu Nadrenii Północnej-Westfalii;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surowce naturalne, dzięki którym rozwinęły się pierwsze zakłady przemysłowe Nadrenii Północnej-Westfalii;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krajobrazy Litwy</w:t>
              <w:br/>
              <w:t>i Białorusi, które stanowią walory turystyczne tych krajów;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obiektów wpisanych na listę UNESCO znajdujących się na Litwie</w:t>
              <w:br/>
              <w:t>i Białorusi;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potrzeby</w:t>
              <w:br/>
              <w:t>i oczekiwania turystów;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połączyć potrzeby</w:t>
              <w:br/>
              <w:t>i oczekiwania turystów</w:t>
              <w:br/>
              <w:t>z wybranymi atrakcjami turystycznymi Czech</w:t>
              <w:br/>
              <w:t>i Słowacji;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przykłady przemian politycznych i gospodarczych, jakie nastąpiły na Ukrainie po uzyskaniu niepodległości</w:t>
              <w:br/>
              <w:t>w 1991 r.;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na podstawie wykresu porównać rozwój gospodarczy Polski i Ukrainy;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przyczyny wyludniania się Ukrainy;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klimatogramów klimat</w:t>
              <w:br/>
              <w:t>w różnych częściach Rosji;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gospodarczej omówić rozmieszczenie surowców mineralnych Rosji;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uzasadnić konieczność utrzymywania dobrych stosunków z sąsiednimi krajami;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przykłady trudnych wydarzeń z przeszłości, które mają wpływ na współczesne relacje Polski z sąsiednimi krajami.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pojęcie nowoczesne technologie;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nowoczesnego przemysłu na przykładzie przemysłu francuskiego;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co najmniej trzy cechy nowoczesnej gospodarki Francji;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cechy charakterystyczne</w:t>
              <w:br/>
              <w:t>rzeźby terenu i warunki klimatyczne w państwach</w:t>
              <w:br/>
              <w:t>basenu Morza Śródziemnego;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klimat śródziemnomorski, pod kątem przydatności dla turystyki;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trzy cechy niemieckiego przemysłu, dzięki którym ten sektor stał się podstawą niemieckiej gospodarki;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wpływ zakładów przemysłowych na środowisko przyrodnicze Nadrenii Północnej- Westfalii dawniej i obecnie;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zaprezentować atrakcje turystyczne Litwy i Białorusi związane z polskim dziedzictwem kulturowym;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znaczenie Wilna i Ostrej Bramy dla budowania i zachowania polskiego dziedzictwa kulturowego na Litwie;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przygotować listę atrakcji turystycznych Czech i Słowacji dla wybranych grup turystów (np. młodzieży, seniorów);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negatywny wpływ korupcji na rozwój gospodarczy krajów na przykładzie Ukrainy;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przebieg rewolucji ukraińskiej w 2013 r.;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regiony Ukrainy, w których toczą się konflikty zbrojne;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zróżnicowanie środowiska przyrodniczego Rosji;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gospodarkę Rosji;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scharakteryzować wzajemne relacje Polski z Rosją i Niemcami;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korzyści płynące ze współpracy Polski z sąsiednimi państwami – członkami NATO i UE;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wpływu relacji Polski z sąsiadami na życie ucznia szkoły podstawowej w Polsce.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rolę nowoczesnej energetyki w rozwoju gospodarczym Francji;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rolę nowoczesnego transportu w rozwoju gospodarczym Francji.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</w:t>
              <w:br/>
              <w:t>problemy społeczno-gospodarcze państw</w:t>
              <w:br/>
              <w:t>basenu Morza Śródziemnego;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największe atrakcje antropogeniczne w krajach Europy Południowej</w:t>
              <w:br/>
              <w:t>i powiązać je z określnym rodzajem turystyki;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przyczyny zmian poziomu bezrobocia w Nadrenii Północnej-Westfalii w czasie trwania restrukturyzacji przemysłu;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wykazać związek pomiędzy unowocześnianiem przemysłu a działalnością ośrodków badawczych i uczelni wyższych;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wyróżniające środowisko geograficzne Litwy</w:t>
              <w:br/>
              <w:t>i Białorusi;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zaplanować wycieczkę na Litwę i Białoruś, uwzględniając atrakcje kulturowe i przyrodnicze;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przyrodnicze</w:t>
              <w:br/>
              <w:t>i kulturowe atrakcje turystyczne Czech i Słowacji;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uzasadnić konieczność ochrony walorów przyrodniczych, np. poprzez wpisanie na listę światowego dziedzictwa UNESCO;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przedstawić problemy relacji Ukrainy z Rosją;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aneksję Krymu, biorąc pod uwagę jej uwarunkowania prawne i polityczne oraz wpływ na stabilność w Europie Środkowo-Wschodniej;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ukazać złożoność sytuacji społecznej na Ukrainie w kontekście jej integracji z UE lub Rosją;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pozytywny</w:t>
              <w:br/>
              <w:t>i negatywny wpływ warunków naturalnych na życie mieszkańców Rosji;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scharakteryzować wzajemne relacje Polski z Ukrainą, Litwą, Czechami i Słowacją;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relacje Polski z Niemcami i Rosją;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powiązania gospodarcze Polski z wybranymi sąsiadami.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znaczenie wydajności pracy w nowoczesnej gospodarce;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przedstawić proces produkcji w nowoczesnych zakładach przemysłowych na przykładzie francuskich zakładów lotniczych;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 państwa Europy Południowej, wskazując na zależność rozwoju turystyki</w:t>
              <w:br/>
              <w:t>od środowiska przyrodniczego;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uzasadnić kierunek przyszłego rozwoju branży turystycznej w krajach Europy Południowej;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ukazać korzyści z podjęcia prac nad odnawialnymi źródłami energii i magazynowaniem energii w ośrodkach badawczych Nadrenii Północnej-Westfalii;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prognozować dalsze kierunki rozwoju zakładów przemysłowych Nadrenii-Północnej Westfalii;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stopień trudności organizacji wycieczki na Litwę</w:t>
              <w:br/>
              <w:t>i na Białoruś, biorąc pod uwagę konieczność przekroczenia granicy UE;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zachęcić do odwiedzenia Litwy i Białorusi, używając merytorycznych argumentów; </w:t>
            </w:r>
            <w:r>
              <w:rPr>
                <w:color w:val="000000" w:themeColor="text1"/>
                <w:sz w:val="18"/>
                <w:szCs w:val="18"/>
              </w:rPr>
              <w:t>wymienić i wskazać na mapie zabytki Czech i Słowacji wpisane na listę światowego dziedzictwa UNESCO;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zaproponować działania, których podjęcie poprawiłoby sytuację społeczną, gospodarczą i polityczną na Ukrainie;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zaprezentować własne stanowisko na temat postawy, jaką powinna obrać Polska</w:t>
              <w:br/>
              <w:t>w relacjach z Ukrainą;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uzasadnić, na przykładzie Rosji, że struktura importu</w:t>
              <w:br/>
              <w:t>i eksportu może świadczyć</w:t>
              <w:br/>
              <w:t>o poziomie rozwoju gospodarczego kraju;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zmianę relacji polsko-niemieckich w okresie</w:t>
              <w:br/>
              <w:t>od drugiej wojny światowej</w:t>
              <w:br/>
              <w:t>do czasów współczesnych;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zaproponować działania mające na celu zapobieganie mowie nienawiści i eskalacji napięć w relacjach Polski z Ukrainą i Rosją.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SimSun" w:cs="Arial"/>
          <w:b/>
          <w:bCs/>
        </w:rPr>
        <w:t>OBSZARY AKTYWNOŚCI PODLEGAJĄCE EWALUACJI</w:t>
      </w:r>
    </w:p>
    <w:p>
      <w:pPr>
        <w:pStyle w:val="Normal"/>
        <w:spacing w:lineRule="auto" w:line="360"/>
        <w:jc w:val="both"/>
        <w:rPr/>
      </w:pPr>
      <w:r>
        <w:rPr>
          <w:rFonts w:eastAsia="SimSun" w:cs="Arial"/>
          <w:b/>
          <w:bCs/>
        </w:rPr>
        <w:t>Na lekcjach geografii oceniane będą następujące obszary aktywności uczniów:</w:t>
      </w:r>
      <w:r>
        <w:rPr/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Stopień rozumienia pojęć, terminów i zjawisk zachodzących w przestrzeni geograficznej,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Sposób prowadzenia rozumowań,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Język geograficzny – stosowanie specjalistycznego słownictwa na odpowiednim etapie ścisłości,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 xml:space="preserve"> </w:t>
      </w:r>
      <w:r>
        <w:rPr/>
        <w:t>Stosowanie odpowiednich metod, sposobów wykonania i otrzymanych rezultatów przy rozwiązywaniu zagadnień i zadań,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Abstrakcyjność myślenia, sposób ujęcia zagadnienia,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Stosowanie wiedzy przedmiotowej w sytuacjach praktycznych,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Aktywność na lekcjach,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Wkład pracy ucznia.</w:t>
      </w:r>
    </w:p>
    <w:p>
      <w:pPr>
        <w:pStyle w:val="Normal"/>
        <w:spacing w:lineRule="auto" w:line="360" w:before="0" w:after="0"/>
        <w:jc w:val="both"/>
        <w:rPr>
          <w:rFonts w:eastAsia="SimSun" w:cs="Arial"/>
          <w:b/>
          <w:b/>
          <w:bCs/>
        </w:rPr>
      </w:pPr>
      <w:r>
        <w:rPr>
          <w:rFonts w:eastAsia="SimSun" w:cs="Arial"/>
          <w:b/>
          <w:bCs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FORMY EWALUCAJI OSIĄGNIĘĆ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709" w:hanging="709"/>
        <w:jc w:val="both"/>
        <w:rPr/>
      </w:pPr>
      <w:r>
        <w:rPr>
          <w:rFonts w:eastAsia="SimSun" w:cs="Arial"/>
          <w:b/>
          <w:bCs/>
        </w:rPr>
        <w:t>Prace klasowe:</w:t>
      </w:r>
    </w:p>
    <w:p>
      <w:pPr>
        <w:pStyle w:val="Normal"/>
        <w:suppressAutoHyphens w:val="true"/>
        <w:spacing w:lineRule="auto" w:line="360" w:before="0" w:after="0"/>
        <w:ind w:left="284" w:hanging="0"/>
        <w:jc w:val="both"/>
        <w:rPr/>
      </w:pPr>
      <w:r>
        <w:rPr/>
        <w:t>Praca klasowa to pisemna weryfikacja wiedzy (wiadomości i umiejętności) ucznia przeprowadzona w czasie zajęć w szkole. Obejmuje zakres materiału z jednego działu, zawiera różnorodne formy pytań: rozszerzonych odpowiedzi, krótkich odpowiedzi, odpowiedzi wielokrotnego wyboru, odpowiedzi prawda – fałsz, zgodnie z wymogami danego sprawdzianu. Termin sprawdzianu jest podany z tygodniowym wyprzedzeniem, określony jest również zakres wymaganego materiału w trakcie lekcji powtórzeniowej z danego działu.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Kartkówki: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krótkie sprawdziany, trwające 10-15 min, obejmujące materiał z 3 ostatnich tematów,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nie muszą być zapowiadane,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nie podlegają poprawie.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Arial" w:cs="Arial"/>
          <w:b/>
          <w:bCs/>
        </w:rPr>
        <w:t xml:space="preserve"> </w:t>
      </w:r>
      <w:r>
        <w:rPr>
          <w:rFonts w:eastAsia="SimSun" w:cs="Arial"/>
          <w:b/>
          <w:bCs/>
        </w:rPr>
        <w:t>Odpowiedzi ustne: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true"/>
        <w:spacing w:lineRule="auto" w:line="360" w:before="0" w:after="0"/>
        <w:ind w:left="284" w:firstLine="142"/>
        <w:rPr/>
      </w:pPr>
      <w:r>
        <w:rPr>
          <w:rFonts w:eastAsia="SimSun" w:cs="Arial"/>
        </w:rPr>
        <w:t>uczeń w ciągu semestru odpowiada przynajmniej jeden raz,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709" w:hanging="283"/>
        <w:rPr/>
      </w:pPr>
      <w:r>
        <w:rPr>
          <w:rFonts w:eastAsia="SimSun" w:cs="Arial"/>
        </w:rPr>
        <w:t>nauczyciel nie uprzedza wcześniej ucznia, że sprawdzi poziom jego wiedzy,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709" w:hanging="283"/>
        <w:rPr/>
      </w:pPr>
      <w:r>
        <w:rPr>
          <w:rFonts w:eastAsia="SimSun" w:cs="Arial"/>
        </w:rPr>
        <w:t>zakres materiału dotyczy wszystkich omówionych zagadnień z 3 ostatnich tematów.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709" w:leader="none"/>
        </w:tabs>
        <w:spacing w:lineRule="auto" w:line="360" w:before="0" w:after="0"/>
        <w:ind w:left="0" w:hanging="0"/>
        <w:contextualSpacing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Zeszyt przedmiotowy: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przynajmniej raz w semestrze będzie sprawdzany i oceniany zeszyt ucznia,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60"/>
        <w:rPr/>
      </w:pPr>
      <w:r>
        <w:rPr>
          <w:rFonts w:eastAsia="SimSun" w:cs="Arial"/>
        </w:rPr>
        <w:t>w zeszycie powinny znajdować się wszystkie tematy lekcyjne,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uczeń zobowiązany jest do uzupełnienie brakujących tematów,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pod każdym tematem lekcyjnym uczeń obowiązkowo, samodzielnie wykonuje krótką notatkę,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zeszyt powinien być prowadzony estetycznie i czytelnie.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Aktywność dodatkowa: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przygotowanie materiału do nowej lekcji,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udział w dyskusjach,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poprawność i staranność wykonanych ćwiczeń, notatek, krótkich wypowiedzi,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udział w konkursach.</w:t>
      </w:r>
    </w:p>
    <w:p>
      <w:pPr>
        <w:pStyle w:val="Normal"/>
        <w:spacing w:lineRule="auto" w:line="360"/>
        <w:jc w:val="both"/>
        <w:rPr>
          <w:rFonts w:eastAsia="SimSun" w:cs="Arial"/>
          <w:b/>
          <w:b/>
          <w:bCs/>
        </w:rPr>
      </w:pPr>
      <w:r>
        <w:rPr>
          <w:rFonts w:eastAsia="SimSun" w:cs="Arial"/>
          <w:b/>
          <w:bCs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ZASADY POPRAWIANIA OCEN: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prace klasowe są obowiązkowe,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uczeń ma prawo do jednokrotnej poprawy każdej oceny z prac klasowych,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 xml:space="preserve">zakres poprawianego materiału odpowiada zagadnieniom, które obejmowała poprawiana praca klasowa,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czas na poprawę pracy klasowej wynosi 2 tygodnie od momentu wstawienia oceny do dziennika Librus przez nauczyciela,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85" w:leader="none"/>
          <w:tab w:val="left" w:pos="624" w:leader="none"/>
        </w:tabs>
        <w:suppressAutoHyphens w:val="true"/>
        <w:spacing w:lineRule="auto" w:line="360" w:before="0" w:after="0"/>
        <w:ind w:left="745" w:hanging="360"/>
        <w:jc w:val="both"/>
        <w:rPr/>
      </w:pPr>
      <w:r>
        <w:rPr>
          <w:rFonts w:eastAsia="SimSun" w:cs="Arial"/>
        </w:rPr>
        <w:t xml:space="preserve">  </w:t>
      </w:r>
      <w:r>
        <w:rPr>
          <w:rFonts w:eastAsia="SimSun" w:cs="Arial"/>
        </w:rPr>
        <w:t>w przypadku nieobecności ucznia na sprawdzianie nauczyciel wyznacza dodatkowy termin pisania pracy,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uczeń przyłapany na ściąganiu podczas pracy klasowej/kartkówki czy skopiowaniu pracy/wypowiedzi pisemnej z internetu otrzymuje ocenę niedostateczną bez możliwości poprawy tej oceny.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40" w:leader="none"/>
        </w:tabs>
        <w:spacing w:lineRule="atLeast" w:line="440"/>
        <w:jc w:val="both"/>
        <w:rPr>
          <w:rFonts w:ascii="Calibri" w:hAnsi="Calibri" w:cs="AgendaPl Bold"/>
        </w:rPr>
      </w:pPr>
      <w:r>
        <w:rPr/>
        <w:t xml:space="preserve">Przygotowała Monika Robert w oparciu o </w:t>
      </w:r>
      <w:r>
        <w:rPr>
          <w:rFonts w:cs="AgendaPl Bold"/>
        </w:rPr>
        <w:t>materiały opracowane przez autorów wydawnictwa WSiP.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093129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-1516" w:hanging="0"/>
      </w:pPr>
      <w:rPr>
        <w:rFonts w:ascii="Symbol" w:hAnsi="Symbol" w:cs="Symbol" w:hint="default"/>
        <w:sz w:val="18"/>
        <w:szCs w:val="18"/>
        <w:rFonts w:cs="Symbol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  <w:rFonts w:cs="Arial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  <w:rFonts w:cs="Arial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45d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b391e"/>
    <w:rPr/>
  </w:style>
  <w:style w:type="character" w:styleId="StopkaZnak1" w:customStyle="1">
    <w:name w:val="Stopka Znak1"/>
    <w:basedOn w:val="DefaultParagraphFont"/>
    <w:uiPriority w:val="99"/>
    <w:semiHidden/>
    <w:qFormat/>
    <w:rsid w:val="002b391e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565d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45d15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2b39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unhideWhenUsed/>
    <w:rsid w:val="00c565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45d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LibreOffice/6.3.4.2$Windows_X86_64 LibreOffice_project/60da17e045e08f1793c57c00ba83cdfce946d0aa</Application>
  <Pages>7</Pages>
  <Words>2508</Words>
  <Characters>16271</Characters>
  <CharactersWithSpaces>18328</CharactersWithSpaces>
  <Paragraphs>264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2019-10-15T12:28:00Z</dcterms:created>
  <dc:creator>Monika Robert</dc:creator>
  <dc:description/>
  <dc:language>pl-PL</dc:language>
  <cp:lastModifiedBy/>
  <dcterms:modified xsi:type="dcterms:W3CDTF">2020-09-04T08:42:06Z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